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2D" w:rsidRPr="0093792D" w:rsidRDefault="0093792D" w:rsidP="0093792D">
      <w:pPr>
        <w:jc w:val="center"/>
        <w:rPr>
          <w:b/>
        </w:rPr>
      </w:pPr>
      <w:r w:rsidRPr="0093792D">
        <w:rPr>
          <w:rFonts w:hint="eastAsia"/>
          <w:b/>
        </w:rPr>
        <w:t>关于物理学院研究生申报</w:t>
      </w:r>
      <w:r w:rsidR="005C4681">
        <w:rPr>
          <w:rFonts w:hint="eastAsia"/>
          <w:b/>
        </w:rPr>
        <w:t>2016</w:t>
      </w:r>
      <w:r w:rsidRPr="0093792D">
        <w:rPr>
          <w:rFonts w:hint="eastAsia"/>
          <w:b/>
        </w:rPr>
        <w:t>年度“求是奖”等奖项的通知</w:t>
      </w:r>
    </w:p>
    <w:p w:rsidR="0093792D" w:rsidRDefault="0093792D" w:rsidP="0093792D"/>
    <w:p w:rsidR="0093792D" w:rsidRDefault="0093792D" w:rsidP="0093792D">
      <w:r>
        <w:rPr>
          <w:rFonts w:hint="eastAsia"/>
        </w:rPr>
        <w:t xml:space="preserve">　　根据学校学工部的安排，</w:t>
      </w:r>
      <w:r>
        <w:rPr>
          <w:rFonts w:hint="eastAsia"/>
        </w:rPr>
        <w:t xml:space="preserve"> </w:t>
      </w:r>
      <w:r w:rsidR="005C4681">
        <w:rPr>
          <w:rFonts w:hint="eastAsia"/>
        </w:rPr>
        <w:t>2016</w:t>
      </w:r>
      <w:r>
        <w:rPr>
          <w:rFonts w:hint="eastAsia"/>
        </w:rPr>
        <w:t>年度研究生专项奖学金工作于</w:t>
      </w:r>
      <w:r>
        <w:rPr>
          <w:rFonts w:hint="eastAsia"/>
        </w:rPr>
        <w:t>9</w:t>
      </w:r>
      <w:r>
        <w:rPr>
          <w:rFonts w:hint="eastAsia"/>
        </w:rPr>
        <w:t>月</w:t>
      </w:r>
      <w:r w:rsidR="005C4681">
        <w:t>25</w:t>
      </w:r>
      <w:r>
        <w:rPr>
          <w:rFonts w:hint="eastAsia"/>
        </w:rPr>
        <w:t>日启动，现将物理学院研究生申报“求是奖”、</w:t>
      </w:r>
      <w:r w:rsidR="006405A3">
        <w:rPr>
          <w:rFonts w:hint="eastAsia"/>
        </w:rPr>
        <w:t>“国睿奖”、</w:t>
      </w:r>
      <w:r>
        <w:rPr>
          <w:rFonts w:hint="eastAsia"/>
        </w:rPr>
        <w:t>CASC</w:t>
      </w:r>
      <w:r>
        <w:rPr>
          <w:rFonts w:hint="eastAsia"/>
        </w:rPr>
        <w:t>、“华为奖”等奖项的有关事宜通知如下：</w:t>
      </w:r>
    </w:p>
    <w:p w:rsidR="0093792D" w:rsidRPr="005C4681" w:rsidRDefault="0093792D" w:rsidP="0093792D"/>
    <w:p w:rsidR="0093792D" w:rsidRPr="006405A3" w:rsidRDefault="0093792D" w:rsidP="006405A3">
      <w:pPr>
        <w:ind w:firstLineChars="200" w:firstLine="422"/>
        <w:rPr>
          <w:b/>
        </w:rPr>
      </w:pPr>
      <w:r w:rsidRPr="006405A3">
        <w:rPr>
          <w:rFonts w:hint="eastAsia"/>
          <w:b/>
        </w:rPr>
        <w:t>一、评选办法：</w:t>
      </w:r>
    </w:p>
    <w:p w:rsidR="0093792D" w:rsidRDefault="0093792D" w:rsidP="0093792D">
      <w:r>
        <w:rPr>
          <w:rFonts w:hint="eastAsia"/>
        </w:rPr>
        <w:t xml:space="preserve">　　研究生“求是研究生奖”等</w:t>
      </w:r>
      <w:r w:rsidR="006405A3">
        <w:rPr>
          <w:rFonts w:hint="eastAsia"/>
        </w:rPr>
        <w:t>各类奖项由各系推荐初步候选人，经院学术委员会审议，评委投票确定。</w:t>
      </w:r>
    </w:p>
    <w:p w:rsidR="0093792D" w:rsidRDefault="0093792D" w:rsidP="0093792D"/>
    <w:p w:rsidR="0093792D" w:rsidRPr="006405A3" w:rsidRDefault="0093792D" w:rsidP="006405A3">
      <w:pPr>
        <w:ind w:firstLineChars="200" w:firstLine="422"/>
        <w:rPr>
          <w:b/>
        </w:rPr>
      </w:pPr>
      <w:r w:rsidRPr="006405A3">
        <w:rPr>
          <w:rFonts w:hint="eastAsia"/>
          <w:b/>
        </w:rPr>
        <w:t>二、申报原则：</w:t>
      </w:r>
    </w:p>
    <w:p w:rsidR="0093792D" w:rsidRDefault="0093792D" w:rsidP="0093792D">
      <w:r>
        <w:rPr>
          <w:rFonts w:hint="eastAsia"/>
        </w:rPr>
        <w:t xml:space="preserve">　　</w:t>
      </w:r>
      <w:r w:rsidRPr="00F574BB">
        <w:rPr>
          <w:rFonts w:hint="eastAsia"/>
        </w:rPr>
        <w:t>上学期已获中科院院长奖、朱李月华奖和以前曾经获得求是研究生奖的同学不得申报此次奖项。</w:t>
      </w:r>
      <w:r>
        <w:rPr>
          <w:rFonts w:hint="eastAsia"/>
        </w:rPr>
        <w:t>物理学院申报“求是研究生奖”等专项奖的同学，由各系推荐，各系指标分配如下：</w:t>
      </w:r>
    </w:p>
    <w:p w:rsidR="0093792D" w:rsidRDefault="0093792D" w:rsidP="0093792D">
      <w:r>
        <w:t xml:space="preserve"> </w:t>
      </w:r>
    </w:p>
    <w:tbl>
      <w:tblPr>
        <w:tblW w:w="8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80"/>
        <w:gridCol w:w="2780"/>
        <w:gridCol w:w="2515"/>
      </w:tblGrid>
      <w:tr w:rsidR="0093792D" w:rsidRPr="0093792D" w:rsidTr="006405A3">
        <w:trPr>
          <w:trHeight w:val="3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rPr>
                <w:rFonts w:hint="eastAsia"/>
              </w:rPr>
              <w:t>求是奖（博）、</w:t>
            </w:r>
            <w:r w:rsidRPr="0093792D">
              <w:t>CASC</w:t>
            </w:r>
            <w:r w:rsidRPr="0093792D">
              <w:rPr>
                <w:rFonts w:hint="eastAsia"/>
              </w:rPr>
              <w:t>（研）、华为奖（博）、</w:t>
            </w:r>
            <w:r w:rsidR="00E90236">
              <w:rPr>
                <w:rFonts w:hint="eastAsia"/>
              </w:rPr>
              <w:t>国睿奖（研）</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rPr>
                <w:rFonts w:hint="eastAsia"/>
              </w:rPr>
              <w:t>华为奖（硕）</w:t>
            </w:r>
          </w:p>
        </w:tc>
      </w:tr>
      <w:tr w:rsidR="0093792D" w:rsidRPr="0093792D" w:rsidTr="006405A3">
        <w:trPr>
          <w:trHeight w:val="3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rPr>
                <w:rFonts w:hint="eastAsia"/>
              </w:rPr>
              <w:t>物理系</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t>3</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t>1</w:t>
            </w:r>
          </w:p>
        </w:tc>
      </w:tr>
      <w:tr w:rsidR="0093792D" w:rsidRPr="0093792D" w:rsidTr="006405A3">
        <w:trPr>
          <w:trHeight w:val="398"/>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rPr>
                <w:rFonts w:hint="eastAsia"/>
              </w:rPr>
              <w:t>光学与光学工程系</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BB0BBB" w:rsidP="0093792D">
            <w:r>
              <w:t>4</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t>1</w:t>
            </w:r>
          </w:p>
        </w:tc>
      </w:tr>
      <w:tr w:rsidR="0093792D" w:rsidRPr="0093792D" w:rsidTr="006405A3">
        <w:trPr>
          <w:trHeight w:val="3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rPr>
                <w:rFonts w:hint="eastAsia"/>
              </w:rPr>
              <w:t>近代物理系</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BB0BBB" w:rsidP="0093792D">
            <w:r>
              <w:t>8</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t>2</w:t>
            </w:r>
          </w:p>
        </w:tc>
      </w:tr>
      <w:tr w:rsidR="0093792D" w:rsidRPr="0093792D" w:rsidTr="006405A3">
        <w:trPr>
          <w:trHeight w:val="3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rPr>
                <w:rFonts w:hint="eastAsia"/>
              </w:rPr>
              <w:t>天文与应用物理系</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t>1</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3792D" w:rsidRPr="0093792D" w:rsidRDefault="0093792D" w:rsidP="0093792D"/>
        </w:tc>
      </w:tr>
      <w:tr w:rsidR="0093792D" w:rsidRPr="0093792D" w:rsidTr="006405A3">
        <w:trPr>
          <w:trHeight w:val="3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rPr>
                <w:rFonts w:hint="eastAsia"/>
              </w:rPr>
              <w:t>合计</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BB0BBB" w:rsidP="0093792D">
            <w:r>
              <w:t>16</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rsidR="0093792D" w:rsidRPr="0093792D" w:rsidRDefault="0093792D" w:rsidP="0093792D">
            <w:r w:rsidRPr="0093792D">
              <w:t>4</w:t>
            </w:r>
          </w:p>
        </w:tc>
      </w:tr>
    </w:tbl>
    <w:p w:rsidR="0093792D" w:rsidRDefault="0093792D" w:rsidP="0093792D"/>
    <w:p w:rsidR="0093792D" w:rsidRDefault="0093792D" w:rsidP="0093792D">
      <w:r w:rsidRPr="0093792D">
        <w:rPr>
          <w:rFonts w:hint="eastAsia"/>
        </w:rPr>
        <w:t>注：指标分配按各系研究生人数占总比情况确定。另，华为奖因有专业要求（近代物理系</w:t>
      </w:r>
      <w:r w:rsidRPr="0093792D">
        <w:rPr>
          <w:rFonts w:hint="eastAsia"/>
        </w:rPr>
        <w:t>&amp;</w:t>
      </w:r>
      <w:r w:rsidRPr="0093792D">
        <w:rPr>
          <w:rFonts w:hint="eastAsia"/>
        </w:rPr>
        <w:t>光学与光学工程系</w:t>
      </w:r>
      <w:r w:rsidRPr="0093792D">
        <w:rPr>
          <w:rFonts w:hint="eastAsia"/>
        </w:rPr>
        <w:t>&amp;</w:t>
      </w:r>
      <w:r w:rsidRPr="0093792D">
        <w:rPr>
          <w:rFonts w:hint="eastAsia"/>
        </w:rPr>
        <w:t>微电子学与固体电子学专业，含</w:t>
      </w:r>
      <w:r w:rsidRPr="0093792D">
        <w:rPr>
          <w:rFonts w:hint="eastAsia"/>
        </w:rPr>
        <w:t>2</w:t>
      </w:r>
      <w:r w:rsidRPr="0093792D">
        <w:rPr>
          <w:rFonts w:hint="eastAsia"/>
        </w:rPr>
        <w:t>个硕士名额，</w:t>
      </w:r>
      <w:r w:rsidRPr="0093792D">
        <w:rPr>
          <w:rFonts w:hint="eastAsia"/>
        </w:rPr>
        <w:t>1</w:t>
      </w:r>
      <w:r w:rsidRPr="0093792D">
        <w:rPr>
          <w:rFonts w:hint="eastAsia"/>
        </w:rPr>
        <w:t>个博士名额），所以个别系没有分配指标。</w:t>
      </w:r>
    </w:p>
    <w:p w:rsidR="0093792D" w:rsidRDefault="0093792D" w:rsidP="0093792D">
      <w:r>
        <w:t xml:space="preserve"> </w:t>
      </w:r>
    </w:p>
    <w:p w:rsidR="0093792D" w:rsidRPr="006405A3" w:rsidRDefault="0093792D" w:rsidP="0093792D">
      <w:pPr>
        <w:rPr>
          <w:b/>
        </w:rPr>
      </w:pPr>
      <w:r w:rsidRPr="0093792D">
        <w:rPr>
          <w:rFonts w:hint="eastAsia"/>
        </w:rPr>
        <w:t xml:space="preserve">　</w:t>
      </w:r>
      <w:r w:rsidRPr="006405A3">
        <w:rPr>
          <w:rFonts w:hint="eastAsia"/>
          <w:b/>
        </w:rPr>
        <w:t>三、物理学院参评名额：</w:t>
      </w:r>
    </w:p>
    <w:tbl>
      <w:tblPr>
        <w:tblW w:w="8359" w:type="dxa"/>
        <w:jc w:val="center"/>
        <w:tblLook w:val="04A0" w:firstRow="1" w:lastRow="0" w:firstColumn="1" w:lastColumn="0" w:noHBand="0" w:noVBand="1"/>
      </w:tblPr>
      <w:tblGrid>
        <w:gridCol w:w="1840"/>
        <w:gridCol w:w="2020"/>
        <w:gridCol w:w="2180"/>
        <w:gridCol w:w="2319"/>
      </w:tblGrid>
      <w:tr w:rsidR="0093792D" w:rsidRPr="0093792D">
        <w:trPr>
          <w:trHeight w:val="27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学金名称</w:t>
            </w:r>
          </w:p>
        </w:tc>
        <w:tc>
          <w:tcPr>
            <w:tcW w:w="2020" w:type="dxa"/>
            <w:tcBorders>
              <w:top w:val="single" w:sz="4" w:space="0" w:color="auto"/>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金额</w:t>
            </w:r>
            <w:r w:rsidRPr="0093792D">
              <w:rPr>
                <w:rFonts w:hint="eastAsia"/>
              </w:rPr>
              <w:t>(</w:t>
            </w:r>
            <w:r w:rsidRPr="0093792D">
              <w:rPr>
                <w:rFonts w:hint="eastAsia"/>
              </w:rPr>
              <w:t>元</w:t>
            </w:r>
            <w:r w:rsidRPr="0093792D">
              <w:rPr>
                <w:rFonts w:hint="eastAsia"/>
              </w:rPr>
              <w:t>/</w:t>
            </w:r>
            <w:r w:rsidRPr="0093792D">
              <w:rPr>
                <w:rFonts w:hint="eastAsia"/>
              </w:rPr>
              <w:t>年</w:t>
            </w:r>
            <w:r w:rsidRPr="0093792D">
              <w:rPr>
                <w:rFonts w:hint="eastAsia"/>
              </w:rPr>
              <w:t>)</w:t>
            </w:r>
          </w:p>
        </w:tc>
        <w:tc>
          <w:tcPr>
            <w:tcW w:w="2180" w:type="dxa"/>
            <w:tcBorders>
              <w:top w:val="single" w:sz="4" w:space="0" w:color="auto"/>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理学院名额</w:t>
            </w:r>
          </w:p>
        </w:tc>
        <w:tc>
          <w:tcPr>
            <w:tcW w:w="2319" w:type="dxa"/>
            <w:tcBorders>
              <w:top w:val="single" w:sz="4" w:space="0" w:color="auto"/>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评选方法</w:t>
            </w:r>
          </w:p>
        </w:tc>
      </w:tr>
      <w:tr w:rsidR="0093792D" w:rsidRPr="0093792D">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求是奖</w:t>
            </w:r>
          </w:p>
        </w:tc>
        <w:tc>
          <w:tcPr>
            <w:tcW w:w="202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5000</w:t>
            </w:r>
          </w:p>
        </w:tc>
        <w:tc>
          <w:tcPr>
            <w:tcW w:w="218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6</w:t>
            </w:r>
            <w:r w:rsidRPr="0093792D">
              <w:rPr>
                <w:rFonts w:hint="eastAsia"/>
              </w:rPr>
              <w:t>博士研究生</w:t>
            </w:r>
          </w:p>
        </w:tc>
        <w:tc>
          <w:tcPr>
            <w:tcW w:w="2319"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等额评选</w:t>
            </w:r>
          </w:p>
        </w:tc>
      </w:tr>
      <w:tr w:rsidR="005C4681" w:rsidRPr="0093792D">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tcPr>
          <w:p w:rsidR="005C4681" w:rsidRPr="0093792D" w:rsidRDefault="005C4681" w:rsidP="0093792D">
            <w:r>
              <w:rPr>
                <w:rFonts w:hint="eastAsia"/>
              </w:rPr>
              <w:t>国睿奖</w:t>
            </w:r>
          </w:p>
        </w:tc>
        <w:tc>
          <w:tcPr>
            <w:tcW w:w="2020" w:type="dxa"/>
            <w:tcBorders>
              <w:top w:val="nil"/>
              <w:left w:val="nil"/>
              <w:bottom w:val="single" w:sz="4" w:space="0" w:color="auto"/>
              <w:right w:val="single" w:sz="4" w:space="0" w:color="auto"/>
            </w:tcBorders>
            <w:shd w:val="clear" w:color="auto" w:fill="auto"/>
            <w:noWrap/>
          </w:tcPr>
          <w:p w:rsidR="005C4681" w:rsidRPr="0093792D" w:rsidRDefault="005C4681" w:rsidP="0093792D">
            <w:r>
              <w:rPr>
                <w:rFonts w:hint="eastAsia"/>
              </w:rPr>
              <w:t>8000</w:t>
            </w:r>
          </w:p>
        </w:tc>
        <w:tc>
          <w:tcPr>
            <w:tcW w:w="2180" w:type="dxa"/>
            <w:tcBorders>
              <w:top w:val="nil"/>
              <w:left w:val="nil"/>
              <w:bottom w:val="single" w:sz="4" w:space="0" w:color="auto"/>
              <w:right w:val="single" w:sz="4" w:space="0" w:color="auto"/>
            </w:tcBorders>
            <w:shd w:val="clear" w:color="auto" w:fill="auto"/>
            <w:noWrap/>
          </w:tcPr>
          <w:p w:rsidR="005C4681" w:rsidRPr="0093792D" w:rsidRDefault="005C4681" w:rsidP="0093792D">
            <w:r>
              <w:rPr>
                <w:rFonts w:hint="eastAsia"/>
              </w:rPr>
              <w:t>3</w:t>
            </w:r>
            <w:r>
              <w:rPr>
                <w:rFonts w:hint="eastAsia"/>
              </w:rPr>
              <w:t>研究生</w:t>
            </w:r>
          </w:p>
        </w:tc>
        <w:tc>
          <w:tcPr>
            <w:tcW w:w="2319" w:type="dxa"/>
            <w:tcBorders>
              <w:top w:val="nil"/>
              <w:left w:val="nil"/>
              <w:bottom w:val="single" w:sz="4" w:space="0" w:color="auto"/>
              <w:right w:val="single" w:sz="4" w:space="0" w:color="auto"/>
            </w:tcBorders>
            <w:shd w:val="clear" w:color="auto" w:fill="auto"/>
            <w:noWrap/>
          </w:tcPr>
          <w:p w:rsidR="005C4681" w:rsidRPr="0093792D" w:rsidRDefault="005C4681" w:rsidP="0093792D">
            <w:r w:rsidRPr="0093792D">
              <w:rPr>
                <w:rFonts w:hint="eastAsia"/>
              </w:rPr>
              <w:t>等额评选</w:t>
            </w:r>
          </w:p>
        </w:tc>
      </w:tr>
      <w:tr w:rsidR="0093792D" w:rsidRPr="0093792D">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CASC</w:t>
            </w:r>
            <w:r w:rsidRPr="0093792D">
              <w:rPr>
                <w:rFonts w:hint="eastAsia"/>
              </w:rPr>
              <w:t>一等奖</w:t>
            </w:r>
          </w:p>
        </w:tc>
        <w:tc>
          <w:tcPr>
            <w:tcW w:w="202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10000</w:t>
            </w:r>
          </w:p>
        </w:tc>
        <w:tc>
          <w:tcPr>
            <w:tcW w:w="218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1</w:t>
            </w:r>
            <w:r w:rsidRPr="0093792D">
              <w:rPr>
                <w:rFonts w:hint="eastAsia"/>
              </w:rPr>
              <w:t>研究生</w:t>
            </w:r>
          </w:p>
        </w:tc>
        <w:tc>
          <w:tcPr>
            <w:tcW w:w="2319"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等额评选</w:t>
            </w:r>
          </w:p>
        </w:tc>
      </w:tr>
      <w:tr w:rsidR="0093792D" w:rsidRPr="0093792D">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CASC</w:t>
            </w:r>
            <w:r w:rsidRPr="0093792D">
              <w:rPr>
                <w:rFonts w:hint="eastAsia"/>
              </w:rPr>
              <w:t>二等奖</w:t>
            </w:r>
          </w:p>
        </w:tc>
        <w:tc>
          <w:tcPr>
            <w:tcW w:w="202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5000</w:t>
            </w:r>
          </w:p>
        </w:tc>
        <w:tc>
          <w:tcPr>
            <w:tcW w:w="218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1</w:t>
            </w:r>
            <w:r w:rsidRPr="0093792D">
              <w:rPr>
                <w:rFonts w:hint="eastAsia"/>
              </w:rPr>
              <w:t>研究生</w:t>
            </w:r>
          </w:p>
        </w:tc>
        <w:tc>
          <w:tcPr>
            <w:tcW w:w="2319"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等额评选</w:t>
            </w:r>
          </w:p>
        </w:tc>
      </w:tr>
      <w:tr w:rsidR="0093792D" w:rsidRPr="0093792D">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华为一等奖</w:t>
            </w:r>
          </w:p>
        </w:tc>
        <w:tc>
          <w:tcPr>
            <w:tcW w:w="202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8000</w:t>
            </w:r>
          </w:p>
        </w:tc>
        <w:tc>
          <w:tcPr>
            <w:tcW w:w="218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1</w:t>
            </w:r>
            <w:r w:rsidRPr="0093792D">
              <w:rPr>
                <w:rFonts w:hint="eastAsia"/>
              </w:rPr>
              <w:t>博士研究生</w:t>
            </w:r>
          </w:p>
        </w:tc>
        <w:tc>
          <w:tcPr>
            <w:tcW w:w="2319"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等额评选</w:t>
            </w:r>
          </w:p>
        </w:tc>
      </w:tr>
      <w:tr w:rsidR="0093792D" w:rsidRPr="0093792D">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华为二等奖</w:t>
            </w:r>
          </w:p>
        </w:tc>
        <w:tc>
          <w:tcPr>
            <w:tcW w:w="202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6000</w:t>
            </w:r>
          </w:p>
        </w:tc>
        <w:tc>
          <w:tcPr>
            <w:tcW w:w="2180"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2</w:t>
            </w:r>
            <w:r w:rsidRPr="0093792D">
              <w:rPr>
                <w:rFonts w:hint="eastAsia"/>
              </w:rPr>
              <w:t>硕士研究生</w:t>
            </w:r>
          </w:p>
        </w:tc>
        <w:tc>
          <w:tcPr>
            <w:tcW w:w="2319" w:type="dxa"/>
            <w:tcBorders>
              <w:top w:val="nil"/>
              <w:left w:val="nil"/>
              <w:bottom w:val="single" w:sz="4" w:space="0" w:color="auto"/>
              <w:right w:val="single" w:sz="4" w:space="0" w:color="auto"/>
            </w:tcBorders>
            <w:shd w:val="clear" w:color="auto" w:fill="auto"/>
            <w:noWrap/>
            <w:hideMark/>
          </w:tcPr>
          <w:p w:rsidR="0093792D" w:rsidRPr="0093792D" w:rsidRDefault="0093792D" w:rsidP="0093792D">
            <w:r w:rsidRPr="0093792D">
              <w:rPr>
                <w:rFonts w:hint="eastAsia"/>
              </w:rPr>
              <w:t>等额评选</w:t>
            </w:r>
          </w:p>
        </w:tc>
      </w:tr>
    </w:tbl>
    <w:p w:rsidR="0093792D" w:rsidRDefault="0093792D" w:rsidP="0093792D">
      <w:r>
        <w:rPr>
          <w:rFonts w:hint="eastAsia"/>
        </w:rPr>
        <w:t>注：</w:t>
      </w:r>
    </w:p>
    <w:p w:rsidR="0093792D" w:rsidRDefault="0093792D" w:rsidP="0093792D">
      <w:r>
        <w:rPr>
          <w:rFonts w:hint="eastAsia"/>
        </w:rPr>
        <w:t>1</w:t>
      </w:r>
      <w:r>
        <w:rPr>
          <w:rFonts w:hint="eastAsia"/>
        </w:rPr>
        <w:t>、奖金在</w:t>
      </w:r>
      <w:r>
        <w:rPr>
          <w:rFonts w:hint="eastAsia"/>
        </w:rPr>
        <w:t>5000</w:t>
      </w:r>
      <w:r>
        <w:rPr>
          <w:rFonts w:hint="eastAsia"/>
        </w:rPr>
        <w:t>元以上的奖项由院学术委员会统一评审，</w:t>
      </w:r>
      <w:r>
        <w:rPr>
          <w:rFonts w:hint="eastAsia"/>
        </w:rPr>
        <w:t>5000</w:t>
      </w:r>
      <w:r>
        <w:rPr>
          <w:rFonts w:hint="eastAsia"/>
        </w:rPr>
        <w:t>元以下奖项按比例分到各系；</w:t>
      </w:r>
    </w:p>
    <w:p w:rsidR="0093792D" w:rsidRDefault="0093792D" w:rsidP="0093792D">
      <w:r>
        <w:rPr>
          <w:rFonts w:hint="eastAsia"/>
        </w:rPr>
        <w:t>2</w:t>
      </w:r>
      <w:r>
        <w:rPr>
          <w:rFonts w:hint="eastAsia"/>
        </w:rPr>
        <w:t>、求是奖与</w:t>
      </w:r>
      <w:r w:rsidR="006405A3">
        <w:rPr>
          <w:rFonts w:hint="eastAsia"/>
        </w:rPr>
        <w:t>国睿奖、</w:t>
      </w:r>
      <w:r>
        <w:rPr>
          <w:rFonts w:hint="eastAsia"/>
        </w:rPr>
        <w:t>CASC</w:t>
      </w:r>
      <w:r>
        <w:rPr>
          <w:rFonts w:hint="eastAsia"/>
        </w:rPr>
        <w:t>、华为一等奖合并申报评审前</w:t>
      </w:r>
      <w:r w:rsidR="006405A3">
        <w:t>12</w:t>
      </w:r>
      <w:r>
        <w:rPr>
          <w:rFonts w:hint="eastAsia"/>
        </w:rPr>
        <w:t>名，第</w:t>
      </w:r>
      <w:r>
        <w:rPr>
          <w:rFonts w:hint="eastAsia"/>
        </w:rPr>
        <w:t>1</w:t>
      </w:r>
      <w:r>
        <w:rPr>
          <w:rFonts w:hint="eastAsia"/>
        </w:rPr>
        <w:t>名优先拿</w:t>
      </w:r>
      <w:r>
        <w:rPr>
          <w:rFonts w:hint="eastAsia"/>
        </w:rPr>
        <w:t>CASC</w:t>
      </w:r>
      <w:r>
        <w:rPr>
          <w:rFonts w:hint="eastAsia"/>
        </w:rPr>
        <w:t>一等奖；</w:t>
      </w:r>
      <w:r>
        <w:rPr>
          <w:rFonts w:hint="eastAsia"/>
        </w:rPr>
        <w:t>(</w:t>
      </w:r>
      <w:r>
        <w:rPr>
          <w:rFonts w:hint="eastAsia"/>
        </w:rPr>
        <w:t>博、研组</w:t>
      </w:r>
      <w:r>
        <w:rPr>
          <w:rFonts w:hint="eastAsia"/>
        </w:rPr>
        <w:t>)</w:t>
      </w:r>
    </w:p>
    <w:p w:rsidR="0093792D" w:rsidRDefault="0093792D" w:rsidP="0093792D">
      <w:r>
        <w:rPr>
          <w:rFonts w:hint="eastAsia"/>
        </w:rPr>
        <w:t>3</w:t>
      </w:r>
      <w:r>
        <w:rPr>
          <w:rFonts w:hint="eastAsia"/>
        </w:rPr>
        <w:t>、华为二等奖评审取前</w:t>
      </w:r>
      <w:r>
        <w:rPr>
          <w:rFonts w:hint="eastAsia"/>
        </w:rPr>
        <w:t>2</w:t>
      </w:r>
      <w:r>
        <w:rPr>
          <w:rFonts w:hint="eastAsia"/>
        </w:rPr>
        <w:t>名，硕士组；</w:t>
      </w:r>
    </w:p>
    <w:p w:rsidR="0093792D" w:rsidRDefault="0093792D" w:rsidP="0093792D">
      <w:r>
        <w:rPr>
          <w:rFonts w:hint="eastAsia"/>
        </w:rPr>
        <w:t>4</w:t>
      </w:r>
      <w:r>
        <w:rPr>
          <w:rFonts w:hint="eastAsia"/>
        </w:rPr>
        <w:t>、</w:t>
      </w:r>
      <w:r w:rsidR="006405A3">
        <w:rPr>
          <w:rFonts w:hint="eastAsia"/>
        </w:rPr>
        <w:t>20</w:t>
      </w:r>
      <w:r>
        <w:rPr>
          <w:rFonts w:hint="eastAsia"/>
        </w:rPr>
        <w:t>1</w:t>
      </w:r>
      <w:r w:rsidR="006405A3">
        <w:t>6</w:t>
      </w:r>
      <w:r>
        <w:rPr>
          <w:rFonts w:hint="eastAsia"/>
        </w:rPr>
        <w:t>级转博学生仍按硕士参评华为二等奖（硕士组）；</w:t>
      </w:r>
    </w:p>
    <w:p w:rsidR="0093792D" w:rsidRDefault="006405A3" w:rsidP="0093792D">
      <w:r>
        <w:rPr>
          <w:rFonts w:hint="eastAsia"/>
        </w:rPr>
        <w:t>5</w:t>
      </w:r>
      <w:r>
        <w:rPr>
          <w:rFonts w:hint="eastAsia"/>
        </w:rPr>
        <w:t>、国睿奖要求申报人本科及研究生各阶段均为</w:t>
      </w:r>
      <w:r>
        <w:rPr>
          <w:rFonts w:hint="eastAsia"/>
        </w:rPr>
        <w:t>985</w:t>
      </w:r>
      <w:r>
        <w:rPr>
          <w:rFonts w:hint="eastAsia"/>
        </w:rPr>
        <w:t>高校；</w:t>
      </w:r>
    </w:p>
    <w:p w:rsidR="006405A3" w:rsidRDefault="006405A3" w:rsidP="0093792D">
      <w:r>
        <w:rPr>
          <w:rFonts w:hint="eastAsia"/>
        </w:rPr>
        <w:t>6</w:t>
      </w:r>
      <w:r>
        <w:rPr>
          <w:rFonts w:hint="eastAsia"/>
        </w:rPr>
        <w:t>、所有研究生专项奖学金仅限学籍在我校的全脱产全日制研究生参评。</w:t>
      </w:r>
    </w:p>
    <w:p w:rsidR="006405A3" w:rsidRPr="006405A3" w:rsidRDefault="006405A3" w:rsidP="0093792D"/>
    <w:p w:rsidR="0093792D" w:rsidRPr="006405A3" w:rsidRDefault="0093792D" w:rsidP="0093792D">
      <w:pPr>
        <w:rPr>
          <w:b/>
        </w:rPr>
      </w:pPr>
      <w:r>
        <w:rPr>
          <w:rFonts w:hint="eastAsia"/>
        </w:rPr>
        <w:t xml:space="preserve">　　</w:t>
      </w:r>
      <w:r w:rsidRPr="006405A3">
        <w:rPr>
          <w:rFonts w:hint="eastAsia"/>
          <w:b/>
        </w:rPr>
        <w:t>四、答辩细则：（求是、</w:t>
      </w:r>
      <w:r w:rsidR="006405A3">
        <w:rPr>
          <w:rFonts w:hint="eastAsia"/>
          <w:b/>
        </w:rPr>
        <w:t>国睿、</w:t>
      </w:r>
      <w:r w:rsidRPr="006405A3">
        <w:rPr>
          <w:rFonts w:hint="eastAsia"/>
          <w:b/>
        </w:rPr>
        <w:t>华为、</w:t>
      </w:r>
      <w:r w:rsidRPr="006405A3">
        <w:rPr>
          <w:rFonts w:hint="eastAsia"/>
          <w:b/>
        </w:rPr>
        <w:t>CASC</w:t>
      </w:r>
      <w:r w:rsidRPr="006405A3">
        <w:rPr>
          <w:rFonts w:hint="eastAsia"/>
          <w:b/>
        </w:rPr>
        <w:t>）</w:t>
      </w:r>
    </w:p>
    <w:p w:rsidR="0093792D" w:rsidRDefault="0093792D" w:rsidP="0093792D">
      <w:r>
        <w:rPr>
          <w:rFonts w:hint="eastAsia"/>
        </w:rPr>
        <w:lastRenderedPageBreak/>
        <w:t>1</w:t>
      </w:r>
      <w:r>
        <w:rPr>
          <w:rFonts w:hint="eastAsia"/>
        </w:rPr>
        <w:t>、申请人需准备</w:t>
      </w:r>
      <w:r>
        <w:rPr>
          <w:rFonts w:hint="eastAsia"/>
        </w:rPr>
        <w:t>5</w:t>
      </w:r>
      <w:r>
        <w:rPr>
          <w:rFonts w:hint="eastAsia"/>
        </w:rPr>
        <w:t>分钟</w:t>
      </w:r>
      <w:r>
        <w:rPr>
          <w:rFonts w:hint="eastAsia"/>
        </w:rPr>
        <w:t>PPT</w:t>
      </w:r>
      <w:r>
        <w:rPr>
          <w:rFonts w:hint="eastAsia"/>
        </w:rPr>
        <w:t>答辩材料（另有</w:t>
      </w:r>
      <w:r>
        <w:rPr>
          <w:rFonts w:hint="eastAsia"/>
        </w:rPr>
        <w:t>3</w:t>
      </w:r>
      <w:r>
        <w:rPr>
          <w:rFonts w:hint="eastAsia"/>
        </w:rPr>
        <w:t>分钟</w:t>
      </w:r>
      <w:bookmarkStart w:id="0" w:name="_GoBack"/>
      <w:bookmarkEnd w:id="0"/>
      <w:r>
        <w:rPr>
          <w:rFonts w:hint="eastAsia"/>
        </w:rPr>
        <w:t>提问），材料内容必须包括：个人简历、简要介绍所做工作情况、着重在于工作中自己的贡献、成绩、创新、亮点以及研究论文发表情况。</w:t>
      </w:r>
    </w:p>
    <w:p w:rsidR="0093792D" w:rsidRDefault="0093792D" w:rsidP="0093792D">
      <w:r>
        <w:rPr>
          <w:rFonts w:hint="eastAsia"/>
        </w:rPr>
        <w:t>2</w:t>
      </w:r>
      <w:r>
        <w:rPr>
          <w:rFonts w:hint="eastAsia"/>
        </w:rPr>
        <w:t>、请附论文发表的清单和引用情况，同时还需附相关材料供评审会参考（例如文章摘要，发表杂志或录用证明；科研成果需附成果鉴定材料，并注明本人完成部分，一式</w:t>
      </w:r>
      <w:r>
        <w:rPr>
          <w:rFonts w:hint="eastAsia"/>
        </w:rPr>
        <w:t>1</w:t>
      </w:r>
      <w:r>
        <w:rPr>
          <w:rFonts w:hint="eastAsia"/>
        </w:rPr>
        <w:t>份）。</w:t>
      </w:r>
    </w:p>
    <w:p w:rsidR="0093792D" w:rsidRDefault="0093792D" w:rsidP="0093792D">
      <w:r>
        <w:rPr>
          <w:rFonts w:hint="eastAsia"/>
        </w:rPr>
        <w:t>3</w:t>
      </w:r>
      <w:r w:rsidR="006405A3">
        <w:rPr>
          <w:rFonts w:hint="eastAsia"/>
        </w:rPr>
        <w:t>、具体</w:t>
      </w:r>
      <w:r>
        <w:rPr>
          <w:rFonts w:hint="eastAsia"/>
        </w:rPr>
        <w:t>答辩时间</w:t>
      </w:r>
      <w:r w:rsidR="006405A3">
        <w:rPr>
          <w:rFonts w:hint="eastAsia"/>
        </w:rPr>
        <w:t>地点</w:t>
      </w:r>
      <w:r>
        <w:rPr>
          <w:rFonts w:hint="eastAsia"/>
        </w:rPr>
        <w:t>另行通知。</w:t>
      </w:r>
    </w:p>
    <w:p w:rsidR="006405A3" w:rsidRDefault="0093792D" w:rsidP="0093792D">
      <w:r>
        <w:rPr>
          <w:rFonts w:hint="eastAsia"/>
        </w:rPr>
        <w:t xml:space="preserve">　　</w:t>
      </w:r>
    </w:p>
    <w:p w:rsidR="0093792D" w:rsidRDefault="0093792D" w:rsidP="00D663EA">
      <w:pPr>
        <w:ind w:firstLineChars="200" w:firstLine="420"/>
      </w:pPr>
      <w:r>
        <w:rPr>
          <w:rFonts w:hint="eastAsia"/>
        </w:rPr>
        <w:t>请于</w:t>
      </w:r>
      <w:r>
        <w:rPr>
          <w:rFonts w:hint="eastAsia"/>
        </w:rPr>
        <w:t>10</w:t>
      </w:r>
      <w:r>
        <w:rPr>
          <w:rFonts w:hint="eastAsia"/>
        </w:rPr>
        <w:t>月</w:t>
      </w:r>
      <w:r w:rsidR="003F21AF">
        <w:t>19</w:t>
      </w:r>
      <w:r>
        <w:rPr>
          <w:rFonts w:hint="eastAsia"/>
        </w:rPr>
        <w:t>日前将申报表格交于各系负责老师（需要核对填表信息），同时将</w:t>
      </w:r>
      <w:r>
        <w:rPr>
          <w:rFonts w:hint="eastAsia"/>
        </w:rPr>
        <w:t>PPT</w:t>
      </w:r>
      <w:r>
        <w:rPr>
          <w:rFonts w:hint="eastAsia"/>
        </w:rPr>
        <w:t>和申请</w:t>
      </w:r>
      <w:r w:rsidR="006405A3">
        <w:rPr>
          <w:rFonts w:hint="eastAsia"/>
        </w:rPr>
        <w:t>材料（请申请者将纸质版本和电子版本的内容保持绝对一致），文章</w:t>
      </w:r>
      <w:r>
        <w:rPr>
          <w:rFonts w:hint="eastAsia"/>
        </w:rPr>
        <w:t>只计算已经发表或接收的文章。</w:t>
      </w:r>
      <w:r>
        <w:rPr>
          <w:rFonts w:hint="eastAsia"/>
        </w:rPr>
        <w:t>10</w:t>
      </w:r>
      <w:r>
        <w:rPr>
          <w:rFonts w:hint="eastAsia"/>
        </w:rPr>
        <w:t>月</w:t>
      </w:r>
      <w:r w:rsidR="003F21AF">
        <w:t>21</w:t>
      </w:r>
      <w:r>
        <w:rPr>
          <w:rFonts w:hint="eastAsia"/>
        </w:rPr>
        <w:t>日前请各系将所有材料送到物理学院进行</w:t>
      </w:r>
      <w:r w:rsidR="006405A3">
        <w:rPr>
          <w:rFonts w:hint="eastAsia"/>
        </w:rPr>
        <w:t>汇总</w:t>
      </w:r>
      <w:r>
        <w:rPr>
          <w:rFonts w:hint="eastAsia"/>
        </w:rPr>
        <w:t>（联系人：汤茜</w:t>
      </w:r>
      <w:r>
        <w:rPr>
          <w:rFonts w:hint="eastAsia"/>
        </w:rPr>
        <w:t xml:space="preserve"> 63601393  tangqian@ustc.edu.cn</w:t>
      </w:r>
      <w:r>
        <w:rPr>
          <w:rFonts w:hint="eastAsia"/>
        </w:rPr>
        <w:t>）。</w:t>
      </w:r>
    </w:p>
    <w:p w:rsidR="0093792D" w:rsidRDefault="0093792D" w:rsidP="0093792D"/>
    <w:p w:rsidR="0093792D" w:rsidRPr="006405A3" w:rsidRDefault="0093792D" w:rsidP="006405A3">
      <w:pPr>
        <w:ind w:firstLineChars="200" w:firstLine="422"/>
        <w:rPr>
          <w:b/>
        </w:rPr>
      </w:pPr>
      <w:r w:rsidRPr="006405A3">
        <w:rPr>
          <w:rFonts w:hint="eastAsia"/>
          <w:b/>
        </w:rPr>
        <w:t>五、填报要求</w:t>
      </w:r>
    </w:p>
    <w:p w:rsidR="0093792D" w:rsidRDefault="0093792D" w:rsidP="006405A3">
      <w:pPr>
        <w:ind w:firstLineChars="200" w:firstLine="420"/>
      </w:pPr>
      <w:r>
        <w:rPr>
          <w:rFonts w:hint="eastAsia"/>
        </w:rPr>
        <w:t>1</w:t>
      </w:r>
      <w:r>
        <w:rPr>
          <w:rFonts w:hint="eastAsia"/>
        </w:rPr>
        <w:t>、每位申报学生均需提交《中国科大专项奖学金申报审批表（研究生）》纸质材料和电子版材料各一式一份</w:t>
      </w:r>
      <w:r w:rsidRPr="00F574BB">
        <w:rPr>
          <w:rFonts w:hint="eastAsia"/>
        </w:rPr>
        <w:t>（附件</w:t>
      </w:r>
      <w:r w:rsidRPr="00F574BB">
        <w:rPr>
          <w:rFonts w:hint="eastAsia"/>
        </w:rPr>
        <w:t>6</w:t>
      </w:r>
      <w:r w:rsidRPr="00F574BB">
        <w:rPr>
          <w:rFonts w:hint="eastAsia"/>
        </w:rPr>
        <w:t>）。</w:t>
      </w:r>
    </w:p>
    <w:p w:rsidR="0093792D" w:rsidRDefault="0093792D" w:rsidP="006405A3">
      <w:pPr>
        <w:ind w:firstLineChars="200" w:firstLine="420"/>
      </w:pPr>
      <w:r>
        <w:rPr>
          <w:rFonts w:hint="eastAsia"/>
        </w:rPr>
        <w:t>2</w:t>
      </w:r>
      <w:r>
        <w:rPr>
          <w:rFonts w:hint="eastAsia"/>
        </w:rPr>
        <w:t>、求是研究生奖奖学金申报者还须填报求是基金会要求的《</w:t>
      </w:r>
      <w:r w:rsidR="005C4681">
        <w:rPr>
          <w:rFonts w:hint="eastAsia"/>
        </w:rPr>
        <w:t>2016</w:t>
      </w:r>
      <w:r>
        <w:rPr>
          <w:rFonts w:hint="eastAsia"/>
        </w:rPr>
        <w:t>年“求是研究生奖学金”申报材料》一式</w:t>
      </w:r>
      <w:r>
        <w:rPr>
          <w:rFonts w:hint="eastAsia"/>
        </w:rPr>
        <w:t>1</w:t>
      </w:r>
      <w:r>
        <w:rPr>
          <w:rFonts w:hint="eastAsia"/>
        </w:rPr>
        <w:t>份（电子</w:t>
      </w:r>
      <w:r>
        <w:rPr>
          <w:rFonts w:hint="eastAsia"/>
        </w:rPr>
        <w:t>+</w:t>
      </w:r>
      <w:r>
        <w:rPr>
          <w:rFonts w:hint="eastAsia"/>
        </w:rPr>
        <w:t>纸质，见附件</w:t>
      </w:r>
      <w:r>
        <w:rPr>
          <w:rFonts w:hint="eastAsia"/>
        </w:rPr>
        <w:t>8</w:t>
      </w:r>
      <w:r>
        <w:rPr>
          <w:rFonts w:hint="eastAsia"/>
        </w:rPr>
        <w:t>），和《中国科大</w:t>
      </w:r>
      <w:r w:rsidR="005C4681">
        <w:rPr>
          <w:rFonts w:hint="eastAsia"/>
        </w:rPr>
        <w:t>2016</w:t>
      </w:r>
      <w:r>
        <w:rPr>
          <w:rFonts w:hint="eastAsia"/>
        </w:rPr>
        <w:t>求是获奖者信息》一式</w:t>
      </w:r>
      <w:r>
        <w:rPr>
          <w:rFonts w:hint="eastAsia"/>
        </w:rPr>
        <w:t>1</w:t>
      </w:r>
      <w:r>
        <w:rPr>
          <w:rFonts w:hint="eastAsia"/>
        </w:rPr>
        <w:t>份（仅电子，见附件</w:t>
      </w:r>
      <w:r>
        <w:rPr>
          <w:rFonts w:hint="eastAsia"/>
        </w:rPr>
        <w:t>11</w:t>
      </w:r>
      <w:r>
        <w:rPr>
          <w:rFonts w:hint="eastAsia"/>
        </w:rPr>
        <w:t>）</w:t>
      </w:r>
    </w:p>
    <w:p w:rsidR="0093792D" w:rsidRDefault="0093792D" w:rsidP="006405A3">
      <w:pPr>
        <w:ind w:firstLineChars="200" w:firstLine="420"/>
      </w:pPr>
      <w:r>
        <w:rPr>
          <w:rFonts w:hint="eastAsia"/>
        </w:rPr>
        <w:t>3</w:t>
      </w:r>
      <w:r>
        <w:rPr>
          <w:rFonts w:hint="eastAsia"/>
        </w:rPr>
        <w:t>、</w:t>
      </w:r>
      <w:r>
        <w:rPr>
          <w:rFonts w:hint="eastAsia"/>
        </w:rPr>
        <w:t>CASC</w:t>
      </w:r>
      <w:r>
        <w:rPr>
          <w:rFonts w:hint="eastAsia"/>
        </w:rPr>
        <w:t>奖学金申报者须还须填报中国航天科技集团公司要求的《</w:t>
      </w:r>
      <w:r>
        <w:rPr>
          <w:rFonts w:hint="eastAsia"/>
        </w:rPr>
        <w:t>CASC</w:t>
      </w:r>
      <w:r>
        <w:rPr>
          <w:rFonts w:hint="eastAsia"/>
        </w:rPr>
        <w:t>奖学金申报表》一式</w:t>
      </w:r>
      <w:r>
        <w:rPr>
          <w:rFonts w:hint="eastAsia"/>
        </w:rPr>
        <w:t>1</w:t>
      </w:r>
      <w:r>
        <w:rPr>
          <w:rFonts w:hint="eastAsia"/>
        </w:rPr>
        <w:t>份（电子</w:t>
      </w:r>
      <w:r>
        <w:rPr>
          <w:rFonts w:hint="eastAsia"/>
        </w:rPr>
        <w:t>+</w:t>
      </w:r>
      <w:r>
        <w:rPr>
          <w:rFonts w:hint="eastAsia"/>
        </w:rPr>
        <w:t>纸质，见附件</w:t>
      </w:r>
      <w:r>
        <w:rPr>
          <w:rFonts w:hint="eastAsia"/>
        </w:rPr>
        <w:t>10</w:t>
      </w:r>
      <w:r>
        <w:rPr>
          <w:rFonts w:hint="eastAsia"/>
        </w:rPr>
        <w:t>）。</w:t>
      </w:r>
    </w:p>
    <w:p w:rsidR="003F21AF" w:rsidRDefault="003F21AF" w:rsidP="006405A3">
      <w:pPr>
        <w:ind w:firstLineChars="200" w:firstLine="420"/>
      </w:pPr>
      <w:r>
        <w:rPr>
          <w:rFonts w:hint="eastAsia"/>
        </w:rPr>
        <w:t>4</w:t>
      </w:r>
      <w:r>
        <w:rPr>
          <w:rFonts w:hint="eastAsia"/>
        </w:rPr>
        <w:t>、</w:t>
      </w:r>
      <w:r w:rsidRPr="003F21AF">
        <w:rPr>
          <w:rFonts w:hint="eastAsia"/>
        </w:rPr>
        <w:t>国睿奖学金申报者还须填报中国电子科技集团公司第十四研究所要求的《国睿奖学金获奖人员信息登记表》一式</w:t>
      </w:r>
      <w:r w:rsidRPr="003F21AF">
        <w:rPr>
          <w:rFonts w:hint="eastAsia"/>
        </w:rPr>
        <w:t>1</w:t>
      </w:r>
      <w:r w:rsidRPr="003F21AF">
        <w:rPr>
          <w:rFonts w:hint="eastAsia"/>
        </w:rPr>
        <w:t>份（电子</w:t>
      </w:r>
      <w:r w:rsidRPr="003F21AF">
        <w:rPr>
          <w:rFonts w:hint="eastAsia"/>
        </w:rPr>
        <w:t>+</w:t>
      </w:r>
      <w:r w:rsidRPr="003F21AF">
        <w:rPr>
          <w:rFonts w:hint="eastAsia"/>
        </w:rPr>
        <w:t>纸质，见附件</w:t>
      </w:r>
      <w:r w:rsidRPr="003F21AF">
        <w:rPr>
          <w:rFonts w:hint="eastAsia"/>
        </w:rPr>
        <w:t>12</w:t>
      </w:r>
      <w:r w:rsidRPr="003F21AF">
        <w:rPr>
          <w:rFonts w:hint="eastAsia"/>
        </w:rPr>
        <w:t>），学院需填报《国睿奖学金学生信息汇总表》一式</w:t>
      </w:r>
      <w:r w:rsidRPr="003F21AF">
        <w:rPr>
          <w:rFonts w:hint="eastAsia"/>
        </w:rPr>
        <w:t>1</w:t>
      </w:r>
      <w:r w:rsidRPr="003F21AF">
        <w:rPr>
          <w:rFonts w:hint="eastAsia"/>
        </w:rPr>
        <w:t>份（仅电子，见附件</w:t>
      </w:r>
      <w:r w:rsidRPr="003F21AF">
        <w:rPr>
          <w:rFonts w:hint="eastAsia"/>
        </w:rPr>
        <w:t>13</w:t>
      </w:r>
      <w:r w:rsidRPr="003F21AF">
        <w:rPr>
          <w:rFonts w:hint="eastAsia"/>
        </w:rPr>
        <w:t>）。</w:t>
      </w:r>
    </w:p>
    <w:p w:rsidR="0093792D" w:rsidRDefault="0093792D" w:rsidP="006405A3">
      <w:pPr>
        <w:ind w:firstLineChars="200" w:firstLine="420"/>
      </w:pPr>
      <w:r>
        <w:rPr>
          <w:rFonts w:hint="eastAsia"/>
        </w:rPr>
        <w:t>4</w:t>
      </w:r>
      <w:r>
        <w:rPr>
          <w:rFonts w:hint="eastAsia"/>
        </w:rPr>
        <w:t>、奖学金申请人、导师和班主任、各院系有关负责人应实事求是地认真填写各类申报表、审批表。如有填报表上出现项目空白或填写马虎、敷衍了事者，将取消评奖资格。</w:t>
      </w:r>
    </w:p>
    <w:p w:rsidR="0093792D" w:rsidRDefault="0093792D" w:rsidP="006405A3">
      <w:pPr>
        <w:ind w:firstLineChars="200" w:firstLine="420"/>
      </w:pPr>
      <w:r>
        <w:rPr>
          <w:rFonts w:hint="eastAsia"/>
        </w:rPr>
        <w:t>5</w:t>
      </w:r>
      <w:r>
        <w:rPr>
          <w:rFonts w:hint="eastAsia"/>
        </w:rPr>
        <w:t>、请按照学工部要求统一填写（由于学校进行电子版本评审，请保持材料的一致性）</w:t>
      </w:r>
    </w:p>
    <w:p w:rsidR="0093792D" w:rsidRDefault="0093792D" w:rsidP="0093792D"/>
    <w:p w:rsidR="0093792D" w:rsidRPr="006405A3" w:rsidRDefault="0093792D" w:rsidP="0093792D">
      <w:pPr>
        <w:rPr>
          <w:b/>
        </w:rPr>
      </w:pPr>
      <w:r>
        <w:rPr>
          <w:rFonts w:hint="eastAsia"/>
        </w:rPr>
        <w:t xml:space="preserve">　</w:t>
      </w:r>
      <w:r w:rsidRPr="006405A3">
        <w:rPr>
          <w:rFonts w:hint="eastAsia"/>
          <w:b/>
        </w:rPr>
        <w:t xml:space="preserve">　六、材料下载地址</w:t>
      </w:r>
    </w:p>
    <w:p w:rsidR="0093792D" w:rsidRDefault="0093792D" w:rsidP="0093792D">
      <w:r>
        <w:rPr>
          <w:rFonts w:hint="eastAsia"/>
        </w:rPr>
        <w:t xml:space="preserve">　　通知和各类申报审批表下载地址：</w:t>
      </w:r>
      <w:r>
        <w:rPr>
          <w:rFonts w:hint="eastAsia"/>
        </w:rPr>
        <w:t>http://stuhome.ustc.edu.cn/wdzx/</w:t>
      </w:r>
      <w:r>
        <w:rPr>
          <w:rFonts w:hint="eastAsia"/>
        </w:rPr>
        <w:t>（“学工在线”网站“文档中心”栏目“</w:t>
      </w:r>
      <w:r w:rsidR="003F21AF">
        <w:rPr>
          <w:rFonts w:hint="eastAsia"/>
        </w:rPr>
        <w:t>2</w:t>
      </w:r>
      <w:r w:rsidR="003F21AF">
        <w:t>016</w:t>
      </w:r>
      <w:r w:rsidR="003F21AF">
        <w:rPr>
          <w:rFonts w:hint="eastAsia"/>
        </w:rPr>
        <w:t>年专项奖通知</w:t>
      </w:r>
      <w:r>
        <w:rPr>
          <w:rFonts w:hint="eastAsia"/>
        </w:rPr>
        <w:t>及附件”）。</w:t>
      </w:r>
    </w:p>
    <w:p w:rsidR="00180F19" w:rsidRDefault="00180F19" w:rsidP="0093792D"/>
    <w:p w:rsidR="0093792D" w:rsidRDefault="00180F19" w:rsidP="00180F19">
      <w:pPr>
        <w:ind w:firstLineChars="200" w:firstLine="420"/>
        <w:rPr>
          <w:rFonts w:hint="eastAsia"/>
        </w:rPr>
      </w:pPr>
      <w:r>
        <w:rPr>
          <w:rFonts w:hint="eastAsia"/>
        </w:rPr>
        <w:t>特此通知。</w:t>
      </w:r>
    </w:p>
    <w:p w:rsidR="0093792D" w:rsidRDefault="0093792D" w:rsidP="0093792D">
      <w:r>
        <w:t xml:space="preserve">                                   </w:t>
      </w:r>
    </w:p>
    <w:p w:rsidR="0093792D" w:rsidRDefault="0093792D" w:rsidP="0093792D">
      <w:pPr>
        <w:jc w:val="right"/>
      </w:pPr>
      <w:r>
        <w:rPr>
          <w:rFonts w:hint="eastAsia"/>
        </w:rPr>
        <w:t xml:space="preserve">                                                                                     </w:t>
      </w:r>
      <w:r>
        <w:rPr>
          <w:rFonts w:hint="eastAsia"/>
        </w:rPr>
        <w:t>物</w:t>
      </w:r>
      <w:r>
        <w:rPr>
          <w:rFonts w:hint="eastAsia"/>
        </w:rPr>
        <w:t xml:space="preserve"> </w:t>
      </w:r>
      <w:r>
        <w:rPr>
          <w:rFonts w:hint="eastAsia"/>
        </w:rPr>
        <w:t>理</w:t>
      </w:r>
      <w:r>
        <w:rPr>
          <w:rFonts w:hint="eastAsia"/>
        </w:rPr>
        <w:t xml:space="preserve"> </w:t>
      </w:r>
      <w:r>
        <w:rPr>
          <w:rFonts w:hint="eastAsia"/>
        </w:rPr>
        <w:t>学</w:t>
      </w:r>
      <w:r>
        <w:rPr>
          <w:rFonts w:hint="eastAsia"/>
        </w:rPr>
        <w:t xml:space="preserve"> </w:t>
      </w:r>
      <w:r>
        <w:rPr>
          <w:rFonts w:hint="eastAsia"/>
        </w:rPr>
        <w:t>院</w:t>
      </w:r>
      <w:r>
        <w:rPr>
          <w:rFonts w:hint="eastAsia"/>
        </w:rPr>
        <w:t xml:space="preserve"> </w:t>
      </w:r>
    </w:p>
    <w:p w:rsidR="0093792D" w:rsidRDefault="0093792D" w:rsidP="0093792D">
      <w:pPr>
        <w:jc w:val="right"/>
      </w:pPr>
      <w:r>
        <w:t>2016</w:t>
      </w:r>
      <w:r>
        <w:rPr>
          <w:rFonts w:hint="eastAsia"/>
        </w:rPr>
        <w:t>年</w:t>
      </w:r>
      <w:r>
        <w:t>9</w:t>
      </w:r>
      <w:r>
        <w:rPr>
          <w:rFonts w:hint="eastAsia"/>
        </w:rPr>
        <w:t>月</w:t>
      </w:r>
      <w:r>
        <w:t>28</w:t>
      </w:r>
      <w:r>
        <w:rPr>
          <w:rFonts w:hint="eastAsia"/>
        </w:rPr>
        <w:t>日</w:t>
      </w:r>
      <w:r>
        <w:rPr>
          <w:rFonts w:hint="eastAsia"/>
        </w:rPr>
        <w:t xml:space="preserve"> </w:t>
      </w:r>
    </w:p>
    <w:p w:rsidR="009D5FD8" w:rsidRDefault="005D5393"/>
    <w:sectPr w:rsidR="009D5F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93" w:rsidRDefault="005D5393" w:rsidP="00BB0BBB">
      <w:r>
        <w:separator/>
      </w:r>
    </w:p>
  </w:endnote>
  <w:endnote w:type="continuationSeparator" w:id="0">
    <w:p w:rsidR="005D5393" w:rsidRDefault="005D5393" w:rsidP="00BB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93" w:rsidRDefault="005D5393" w:rsidP="00BB0BBB">
      <w:r>
        <w:separator/>
      </w:r>
    </w:p>
  </w:footnote>
  <w:footnote w:type="continuationSeparator" w:id="0">
    <w:p w:rsidR="005D5393" w:rsidRDefault="005D5393" w:rsidP="00BB0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7E"/>
    <w:rsid w:val="000D181E"/>
    <w:rsid w:val="00180F19"/>
    <w:rsid w:val="002A0C7E"/>
    <w:rsid w:val="003F21AF"/>
    <w:rsid w:val="005C4681"/>
    <w:rsid w:val="005D5393"/>
    <w:rsid w:val="006405A3"/>
    <w:rsid w:val="006C0DC9"/>
    <w:rsid w:val="0093792D"/>
    <w:rsid w:val="00A85668"/>
    <w:rsid w:val="00BB0BBB"/>
    <w:rsid w:val="00D663EA"/>
    <w:rsid w:val="00E13EAA"/>
    <w:rsid w:val="00E90236"/>
    <w:rsid w:val="00F5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5FEFD-D841-4405-BD3C-7E12CB3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B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BBB"/>
    <w:rPr>
      <w:sz w:val="18"/>
      <w:szCs w:val="18"/>
    </w:rPr>
  </w:style>
  <w:style w:type="paragraph" w:styleId="a4">
    <w:name w:val="footer"/>
    <w:basedOn w:val="a"/>
    <w:link w:val="Char0"/>
    <w:uiPriority w:val="99"/>
    <w:unhideWhenUsed/>
    <w:rsid w:val="00BB0BBB"/>
    <w:pPr>
      <w:tabs>
        <w:tab w:val="center" w:pos="4153"/>
        <w:tab w:val="right" w:pos="8306"/>
      </w:tabs>
      <w:snapToGrid w:val="0"/>
      <w:jc w:val="left"/>
    </w:pPr>
    <w:rPr>
      <w:sz w:val="18"/>
      <w:szCs w:val="18"/>
    </w:rPr>
  </w:style>
  <w:style w:type="character" w:customStyle="1" w:styleId="Char0">
    <w:name w:val="页脚 Char"/>
    <w:basedOn w:val="a0"/>
    <w:link w:val="a4"/>
    <w:uiPriority w:val="99"/>
    <w:rsid w:val="00BB0B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6554">
      <w:bodyDiv w:val="1"/>
      <w:marLeft w:val="0"/>
      <w:marRight w:val="0"/>
      <w:marTop w:val="0"/>
      <w:marBottom w:val="0"/>
      <w:divBdr>
        <w:top w:val="none" w:sz="0" w:space="0" w:color="auto"/>
        <w:left w:val="none" w:sz="0" w:space="0" w:color="auto"/>
        <w:bottom w:val="none" w:sz="0" w:space="0" w:color="auto"/>
        <w:right w:val="none" w:sz="0" w:space="0" w:color="auto"/>
      </w:divBdr>
      <w:divsChild>
        <w:div w:id="811866198">
          <w:marLeft w:val="0"/>
          <w:marRight w:val="0"/>
          <w:marTop w:val="100"/>
          <w:marBottom w:val="100"/>
          <w:divBdr>
            <w:top w:val="none" w:sz="0" w:space="0" w:color="auto"/>
            <w:left w:val="none" w:sz="0" w:space="0" w:color="auto"/>
            <w:bottom w:val="none" w:sz="0" w:space="0" w:color="auto"/>
            <w:right w:val="none" w:sz="0" w:space="0" w:color="auto"/>
          </w:divBdr>
          <w:divsChild>
            <w:div w:id="1992052089">
              <w:marLeft w:val="0"/>
              <w:marRight w:val="0"/>
              <w:marTop w:val="0"/>
              <w:marBottom w:val="0"/>
              <w:divBdr>
                <w:top w:val="none" w:sz="0" w:space="0" w:color="auto"/>
                <w:left w:val="none" w:sz="0" w:space="0" w:color="auto"/>
                <w:bottom w:val="none" w:sz="0" w:space="0" w:color="auto"/>
                <w:right w:val="none" w:sz="0" w:space="0" w:color="auto"/>
              </w:divBdr>
              <w:divsChild>
                <w:div w:id="1217887297">
                  <w:marLeft w:val="0"/>
                  <w:marRight w:val="0"/>
                  <w:marTop w:val="0"/>
                  <w:marBottom w:val="0"/>
                  <w:divBdr>
                    <w:top w:val="none" w:sz="0" w:space="0" w:color="auto"/>
                    <w:left w:val="none" w:sz="0" w:space="0" w:color="auto"/>
                    <w:bottom w:val="none" w:sz="0" w:space="0" w:color="auto"/>
                    <w:right w:val="none" w:sz="0" w:space="0" w:color="auto"/>
                  </w:divBdr>
                  <w:divsChild>
                    <w:div w:id="367725242">
                      <w:marLeft w:val="0"/>
                      <w:marRight w:val="0"/>
                      <w:marTop w:val="495"/>
                      <w:marBottom w:val="225"/>
                      <w:divBdr>
                        <w:top w:val="none" w:sz="0" w:space="0" w:color="auto"/>
                        <w:left w:val="none" w:sz="0" w:space="0" w:color="auto"/>
                        <w:bottom w:val="none" w:sz="0" w:space="0" w:color="auto"/>
                        <w:right w:val="none" w:sz="0" w:space="0" w:color="auto"/>
                      </w:divBdr>
                    </w:div>
                    <w:div w:id="2088068387">
                      <w:marLeft w:val="0"/>
                      <w:marRight w:val="0"/>
                      <w:marTop w:val="100"/>
                      <w:marBottom w:val="225"/>
                      <w:divBdr>
                        <w:top w:val="none" w:sz="0" w:space="0" w:color="auto"/>
                        <w:left w:val="none" w:sz="0" w:space="0" w:color="auto"/>
                        <w:bottom w:val="single" w:sz="6" w:space="8" w:color="EEEEEE"/>
                        <w:right w:val="none" w:sz="0" w:space="0" w:color="auto"/>
                      </w:divBdr>
                    </w:div>
                  </w:divsChild>
                </w:div>
              </w:divsChild>
            </w:div>
          </w:divsChild>
        </w:div>
      </w:divsChild>
    </w:div>
    <w:div w:id="611865332">
      <w:bodyDiv w:val="1"/>
      <w:marLeft w:val="0"/>
      <w:marRight w:val="0"/>
      <w:marTop w:val="0"/>
      <w:marBottom w:val="0"/>
      <w:divBdr>
        <w:top w:val="none" w:sz="0" w:space="0" w:color="auto"/>
        <w:left w:val="none" w:sz="0" w:space="0" w:color="auto"/>
        <w:bottom w:val="none" w:sz="0" w:space="0" w:color="auto"/>
        <w:right w:val="none" w:sz="0" w:space="0" w:color="auto"/>
      </w:divBdr>
      <w:divsChild>
        <w:div w:id="792358777">
          <w:marLeft w:val="0"/>
          <w:marRight w:val="0"/>
          <w:marTop w:val="100"/>
          <w:marBottom w:val="100"/>
          <w:divBdr>
            <w:top w:val="none" w:sz="0" w:space="0" w:color="auto"/>
            <w:left w:val="none" w:sz="0" w:space="0" w:color="auto"/>
            <w:bottom w:val="none" w:sz="0" w:space="0" w:color="auto"/>
            <w:right w:val="none" w:sz="0" w:space="0" w:color="auto"/>
          </w:divBdr>
          <w:divsChild>
            <w:div w:id="792795089">
              <w:marLeft w:val="0"/>
              <w:marRight w:val="0"/>
              <w:marTop w:val="0"/>
              <w:marBottom w:val="0"/>
              <w:divBdr>
                <w:top w:val="none" w:sz="0" w:space="0" w:color="auto"/>
                <w:left w:val="none" w:sz="0" w:space="0" w:color="auto"/>
                <w:bottom w:val="none" w:sz="0" w:space="0" w:color="auto"/>
                <w:right w:val="none" w:sz="0" w:space="0" w:color="auto"/>
              </w:divBdr>
              <w:divsChild>
                <w:div w:id="121970775">
                  <w:marLeft w:val="0"/>
                  <w:marRight w:val="0"/>
                  <w:marTop w:val="0"/>
                  <w:marBottom w:val="0"/>
                  <w:divBdr>
                    <w:top w:val="none" w:sz="0" w:space="0" w:color="auto"/>
                    <w:left w:val="none" w:sz="0" w:space="0" w:color="auto"/>
                    <w:bottom w:val="none" w:sz="0" w:space="0" w:color="auto"/>
                    <w:right w:val="none" w:sz="0" w:space="0" w:color="auto"/>
                  </w:divBdr>
                  <w:divsChild>
                    <w:div w:id="850073166">
                      <w:marLeft w:val="0"/>
                      <w:marRight w:val="0"/>
                      <w:marTop w:val="495"/>
                      <w:marBottom w:val="225"/>
                      <w:divBdr>
                        <w:top w:val="none" w:sz="0" w:space="0" w:color="auto"/>
                        <w:left w:val="none" w:sz="0" w:space="0" w:color="auto"/>
                        <w:bottom w:val="none" w:sz="0" w:space="0" w:color="auto"/>
                        <w:right w:val="none" w:sz="0" w:space="0" w:color="auto"/>
                      </w:divBdr>
                    </w:div>
                    <w:div w:id="1069618289">
                      <w:marLeft w:val="0"/>
                      <w:marRight w:val="0"/>
                      <w:marTop w:val="100"/>
                      <w:marBottom w:val="225"/>
                      <w:divBdr>
                        <w:top w:val="none" w:sz="0" w:space="0" w:color="auto"/>
                        <w:left w:val="none" w:sz="0" w:space="0" w:color="auto"/>
                        <w:bottom w:val="single" w:sz="6" w:space="8" w:color="EEEEEE"/>
                        <w:right w:val="none" w:sz="0" w:space="0" w:color="auto"/>
                      </w:divBdr>
                    </w:div>
                  </w:divsChild>
                </w:div>
              </w:divsChild>
            </w:div>
          </w:divsChild>
        </w:div>
      </w:divsChild>
    </w:div>
    <w:div w:id="1077365812">
      <w:bodyDiv w:val="1"/>
      <w:marLeft w:val="0"/>
      <w:marRight w:val="0"/>
      <w:marTop w:val="0"/>
      <w:marBottom w:val="0"/>
      <w:divBdr>
        <w:top w:val="none" w:sz="0" w:space="0" w:color="auto"/>
        <w:left w:val="none" w:sz="0" w:space="0" w:color="auto"/>
        <w:bottom w:val="none" w:sz="0" w:space="0" w:color="auto"/>
        <w:right w:val="none" w:sz="0" w:space="0" w:color="auto"/>
      </w:divBdr>
      <w:divsChild>
        <w:div w:id="1698117934">
          <w:marLeft w:val="0"/>
          <w:marRight w:val="0"/>
          <w:marTop w:val="100"/>
          <w:marBottom w:val="100"/>
          <w:divBdr>
            <w:top w:val="none" w:sz="0" w:space="0" w:color="auto"/>
            <w:left w:val="none" w:sz="0" w:space="0" w:color="auto"/>
            <w:bottom w:val="none" w:sz="0" w:space="0" w:color="auto"/>
            <w:right w:val="none" w:sz="0" w:space="0" w:color="auto"/>
          </w:divBdr>
          <w:divsChild>
            <w:div w:id="671877814">
              <w:marLeft w:val="0"/>
              <w:marRight w:val="0"/>
              <w:marTop w:val="0"/>
              <w:marBottom w:val="0"/>
              <w:divBdr>
                <w:top w:val="none" w:sz="0" w:space="0" w:color="auto"/>
                <w:left w:val="none" w:sz="0" w:space="0" w:color="auto"/>
                <w:bottom w:val="none" w:sz="0" w:space="0" w:color="auto"/>
                <w:right w:val="none" w:sz="0" w:space="0" w:color="auto"/>
              </w:divBdr>
              <w:divsChild>
                <w:div w:id="899631861">
                  <w:marLeft w:val="0"/>
                  <w:marRight w:val="0"/>
                  <w:marTop w:val="0"/>
                  <w:marBottom w:val="0"/>
                  <w:divBdr>
                    <w:top w:val="none" w:sz="0" w:space="0" w:color="auto"/>
                    <w:left w:val="none" w:sz="0" w:space="0" w:color="auto"/>
                    <w:bottom w:val="none" w:sz="0" w:space="0" w:color="auto"/>
                    <w:right w:val="none" w:sz="0" w:space="0" w:color="auto"/>
                  </w:divBdr>
                  <w:divsChild>
                    <w:div w:id="268245293">
                      <w:marLeft w:val="0"/>
                      <w:marRight w:val="0"/>
                      <w:marTop w:val="495"/>
                      <w:marBottom w:val="225"/>
                      <w:divBdr>
                        <w:top w:val="none" w:sz="0" w:space="0" w:color="auto"/>
                        <w:left w:val="none" w:sz="0" w:space="0" w:color="auto"/>
                        <w:bottom w:val="none" w:sz="0" w:space="0" w:color="auto"/>
                        <w:right w:val="none" w:sz="0" w:space="0" w:color="auto"/>
                      </w:divBdr>
                    </w:div>
                    <w:div w:id="1452358626">
                      <w:marLeft w:val="0"/>
                      <w:marRight w:val="0"/>
                      <w:marTop w:val="100"/>
                      <w:marBottom w:val="225"/>
                      <w:divBdr>
                        <w:top w:val="none" w:sz="0" w:space="0" w:color="auto"/>
                        <w:left w:val="none" w:sz="0" w:space="0" w:color="auto"/>
                        <w:bottom w:val="single" w:sz="6" w:space="8" w:color="EEEEEE"/>
                        <w:right w:val="none" w:sz="0" w:space="0" w:color="auto"/>
                      </w:divBdr>
                    </w:div>
                  </w:divsChild>
                </w:div>
              </w:divsChild>
            </w:div>
          </w:divsChild>
        </w:div>
      </w:divsChild>
    </w:div>
    <w:div w:id="1464617425">
      <w:bodyDiv w:val="1"/>
      <w:marLeft w:val="0"/>
      <w:marRight w:val="0"/>
      <w:marTop w:val="0"/>
      <w:marBottom w:val="0"/>
      <w:divBdr>
        <w:top w:val="none" w:sz="0" w:space="0" w:color="auto"/>
        <w:left w:val="none" w:sz="0" w:space="0" w:color="auto"/>
        <w:bottom w:val="none" w:sz="0" w:space="0" w:color="auto"/>
        <w:right w:val="none" w:sz="0" w:space="0" w:color="auto"/>
      </w:divBdr>
      <w:divsChild>
        <w:div w:id="647251048">
          <w:marLeft w:val="0"/>
          <w:marRight w:val="0"/>
          <w:marTop w:val="100"/>
          <w:marBottom w:val="100"/>
          <w:divBdr>
            <w:top w:val="none" w:sz="0" w:space="0" w:color="auto"/>
            <w:left w:val="none" w:sz="0" w:space="0" w:color="auto"/>
            <w:bottom w:val="none" w:sz="0" w:space="0" w:color="auto"/>
            <w:right w:val="none" w:sz="0" w:space="0" w:color="auto"/>
          </w:divBdr>
          <w:divsChild>
            <w:div w:id="2056392102">
              <w:marLeft w:val="0"/>
              <w:marRight w:val="0"/>
              <w:marTop w:val="0"/>
              <w:marBottom w:val="0"/>
              <w:divBdr>
                <w:top w:val="none" w:sz="0" w:space="0" w:color="auto"/>
                <w:left w:val="none" w:sz="0" w:space="0" w:color="auto"/>
                <w:bottom w:val="none" w:sz="0" w:space="0" w:color="auto"/>
                <w:right w:val="none" w:sz="0" w:space="0" w:color="auto"/>
              </w:divBdr>
              <w:divsChild>
                <w:div w:id="1805390499">
                  <w:marLeft w:val="0"/>
                  <w:marRight w:val="0"/>
                  <w:marTop w:val="0"/>
                  <w:marBottom w:val="0"/>
                  <w:divBdr>
                    <w:top w:val="none" w:sz="0" w:space="0" w:color="auto"/>
                    <w:left w:val="none" w:sz="0" w:space="0" w:color="auto"/>
                    <w:bottom w:val="none" w:sz="0" w:space="0" w:color="auto"/>
                    <w:right w:val="none" w:sz="0" w:space="0" w:color="auto"/>
                  </w:divBdr>
                  <w:divsChild>
                    <w:div w:id="1811634005">
                      <w:marLeft w:val="0"/>
                      <w:marRight w:val="0"/>
                      <w:marTop w:val="495"/>
                      <w:marBottom w:val="225"/>
                      <w:divBdr>
                        <w:top w:val="none" w:sz="0" w:space="0" w:color="auto"/>
                        <w:left w:val="none" w:sz="0" w:space="0" w:color="auto"/>
                        <w:bottom w:val="none" w:sz="0" w:space="0" w:color="auto"/>
                        <w:right w:val="none" w:sz="0" w:space="0" w:color="auto"/>
                      </w:divBdr>
                    </w:div>
                    <w:div w:id="1909030407">
                      <w:marLeft w:val="0"/>
                      <w:marRight w:val="0"/>
                      <w:marTop w:val="100"/>
                      <w:marBottom w:val="225"/>
                      <w:divBdr>
                        <w:top w:val="none" w:sz="0" w:space="0" w:color="auto"/>
                        <w:left w:val="none" w:sz="0" w:space="0" w:color="auto"/>
                        <w:bottom w:val="single" w:sz="6" w:space="8" w:color="EEEEE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汤茜</dc:creator>
  <cp:keywords/>
  <dc:description/>
  <cp:lastModifiedBy>汤茜</cp:lastModifiedBy>
  <cp:revision>8</cp:revision>
  <dcterms:created xsi:type="dcterms:W3CDTF">2016-09-28T07:11:00Z</dcterms:created>
  <dcterms:modified xsi:type="dcterms:W3CDTF">2016-09-28T08:59:00Z</dcterms:modified>
</cp:coreProperties>
</file>